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harts/colors1.xml" ContentType="application/vnd.ms-office.chartcolorstyle+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bookmarkStart w:id="0" w:name="_GoBack"/>
      <w:bookmarkEnd w:id="0"/>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425 MHz.</w:t>
      </w:r>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bookmarkStart w:id="1" w:name="_MON_1583240908"/>
    <w:bookmarkEnd w:id="1"/>
    <w:p w14:paraId="1E245EDE" w14:textId="39CDF744" w:rsidR="008F2566" w:rsidRDefault="00113CB9" w:rsidP="00FE7B59">
      <w:pPr>
        <w:pStyle w:val="Normalerostyle"/>
        <w:suppressAutoHyphens w:val="0"/>
        <w:spacing w:before="120" w:line="240" w:lineRule="auto"/>
        <w:rPr>
          <w:sz w:val="22"/>
          <w:szCs w:val="22"/>
        </w:rPr>
      </w:pPr>
      <w:r>
        <w:rPr>
          <w:sz w:val="22"/>
          <w:szCs w:val="22"/>
        </w:rPr>
        <w:object w:dxaOrig="2040" w:dyaOrig="1339"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7.4pt" o:ole="">
            <v:imagedata r:id="rId10" o:title=""/>
          </v:shape>
          <o:OLEObject Type="Embed" ProgID="Excel.Sheet.12" ShapeID="_x0000_i1025" DrawAspect="Icon" ObjectID="_1585470225" r:id="rId11"/>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1"/>
        <w:gridCol w:w="6111"/>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3D3A9C2B" w:rsidR="00FE7B59" w:rsidRPr="00E3405B" w:rsidRDefault="00035CEA" w:rsidP="00FE7B59">
            <w:pPr>
              <w:rPr>
                <w:rFonts w:ascii="Times New Roman" w:hAnsi="Times New Roman"/>
                <w:sz w:val="22"/>
                <w:szCs w:val="22"/>
              </w:rPr>
            </w:pPr>
            <w:r>
              <w:rPr>
                <w:rFonts w:ascii="Times New Roman" w:hAnsi="Times New Roman"/>
                <w:sz w:val="22"/>
                <w:szCs w:val="22"/>
              </w:rPr>
              <w:t>Institut Luxembourgeois de Régulation</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73AFCF0B" w:rsidR="00FE7B59" w:rsidRPr="00E3405B" w:rsidRDefault="00035CEA" w:rsidP="00FE7B59">
            <w:pPr>
              <w:rPr>
                <w:rFonts w:ascii="Times New Roman" w:hAnsi="Times New Roman"/>
                <w:sz w:val="22"/>
                <w:szCs w:val="22"/>
              </w:rPr>
            </w:pPr>
            <w:r>
              <w:rPr>
                <w:rFonts w:ascii="Times New Roman" w:hAnsi="Times New Roman"/>
                <w:sz w:val="22"/>
                <w:szCs w:val="22"/>
              </w:rPr>
              <w:t xml:space="preserve">Claude  Rischette / Claude KAISER </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6425F539" w:rsidR="00FE7B59" w:rsidRPr="00E3405B" w:rsidRDefault="00035CEA" w:rsidP="000271C7">
            <w:pPr>
              <w:rPr>
                <w:rFonts w:ascii="Times New Roman" w:hAnsi="Times New Roman"/>
                <w:sz w:val="22"/>
                <w:szCs w:val="22"/>
              </w:rPr>
            </w:pPr>
            <w:r>
              <w:rPr>
                <w:rFonts w:ascii="Times New Roman" w:hAnsi="Times New Roman"/>
                <w:sz w:val="22"/>
                <w:szCs w:val="22"/>
              </w:rPr>
              <w:t>+ 28228-1</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4E29F084" w:rsidR="00FE7B59" w:rsidRPr="00E3405B" w:rsidRDefault="00035CEA" w:rsidP="00FE7B59">
            <w:pPr>
              <w:rPr>
                <w:rFonts w:ascii="Times New Roman" w:hAnsi="Times New Roman"/>
                <w:sz w:val="22"/>
                <w:szCs w:val="22"/>
              </w:rPr>
            </w:pPr>
            <w:r>
              <w:rPr>
                <w:rFonts w:ascii="Times New Roman" w:hAnsi="Times New Roman"/>
                <w:sz w:val="22"/>
                <w:szCs w:val="22"/>
              </w:rPr>
              <w:t>+ 28 228-28</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08E0DBD3" w:rsidR="00FE7B59" w:rsidRPr="00E3405B" w:rsidRDefault="00CD7CF6" w:rsidP="00FE7B59">
            <w:pPr>
              <w:rPr>
                <w:rFonts w:ascii="Times New Roman" w:hAnsi="Times New Roman"/>
                <w:sz w:val="22"/>
                <w:szCs w:val="22"/>
              </w:rPr>
            </w:pPr>
            <w:hyperlink r:id="rId16" w:history="1">
              <w:r w:rsidR="00035CEA" w:rsidRPr="00BE6D4E">
                <w:rPr>
                  <w:rStyle w:val="Hyperlink"/>
                  <w:rFonts w:ascii="Times New Roman" w:hAnsi="Times New Roman"/>
                  <w:sz w:val="22"/>
                  <w:szCs w:val="22"/>
                </w:rPr>
                <w:t>cr@ilr.lu</w:t>
              </w:r>
            </w:hyperlink>
            <w:r w:rsidR="00035CEA">
              <w:rPr>
                <w:rFonts w:ascii="Times New Roman" w:hAnsi="Times New Roman"/>
                <w:sz w:val="22"/>
                <w:szCs w:val="22"/>
              </w:rPr>
              <w:t xml:space="preserve">  / ck@ilr.lu</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26E70CC0" w:rsidR="00FE7B59" w:rsidRPr="00E3405B" w:rsidRDefault="00035CEA" w:rsidP="00FE7B59">
            <w:pPr>
              <w:rPr>
                <w:rFonts w:ascii="Times New Roman" w:hAnsi="Times New Roman"/>
                <w:sz w:val="22"/>
                <w:szCs w:val="22"/>
              </w:rPr>
            </w:pPr>
            <w:r>
              <w:rPr>
                <w:rFonts w:ascii="Times New Roman" w:hAnsi="Times New Roman"/>
                <w:sz w:val="22"/>
                <w:szCs w:val="22"/>
              </w:rPr>
              <w:t>22/03/2018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6D89692E" w14:textId="0C4CB14C" w:rsidR="00066F71" w:rsidRPr="006D49FB" w:rsidRDefault="00035CEA" w:rsidP="00066F71">
            <w:pPr>
              <w:pStyle w:val="BodyTextIndent"/>
              <w:ind w:left="0"/>
              <w:rPr>
                <w:sz w:val="22"/>
                <w:szCs w:val="22"/>
              </w:rPr>
            </w:pPr>
            <w:r>
              <w:rPr>
                <w:sz w:val="22"/>
                <w:szCs w:val="22"/>
              </w:rPr>
              <w:t xml:space="preserve">No link coordinated </w:t>
            </w:r>
            <w:r w:rsidR="00475A7C">
              <w:rPr>
                <w:sz w:val="22"/>
                <w:szCs w:val="22"/>
              </w:rPr>
              <w:t xml:space="preserve">and in use </w:t>
            </w:r>
            <w:r>
              <w:rPr>
                <w:sz w:val="22"/>
                <w:szCs w:val="22"/>
              </w:rPr>
              <w:t>in the concerned frequency range.</w:t>
            </w:r>
          </w:p>
        </w:tc>
      </w:tr>
    </w:tbl>
    <w:p w14:paraId="2D5162DC" w14:textId="3D24DB18" w:rsidR="00FE7B59" w:rsidRPr="00327DA7" w:rsidRDefault="00FE7B59" w:rsidP="00D97E66">
      <w:pPr>
        <w:pStyle w:val="BodyTextIndent"/>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2"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2"/>
            <w:r w:rsidR="005941FA">
              <w:rPr>
                <w:b/>
                <w:sz w:val="22"/>
                <w:szCs w:val="22"/>
              </w:rPr>
              <w:t>.</w:t>
            </w:r>
          </w:p>
        </w:tc>
      </w:tr>
      <w:tr w:rsidR="00FE7B59" w:rsidRPr="006D49FB" w14:paraId="749CF82A" w14:textId="77777777" w:rsidTr="00D97E66">
        <w:tc>
          <w:tcPr>
            <w:tcW w:w="8897" w:type="dxa"/>
          </w:tcPr>
          <w:p w14:paraId="289686FC" w14:textId="77777777" w:rsidR="00BB6C97" w:rsidRDefault="00BB6C97">
            <w:pPr>
              <w:pStyle w:val="BodyTextIndent"/>
              <w:ind w:left="0"/>
              <w:rPr>
                <w:sz w:val="22"/>
                <w:szCs w:val="22"/>
              </w:rPr>
            </w:pPr>
          </w:p>
          <w:p w14:paraId="31C52EB1" w14:textId="226E8DEE" w:rsidR="00525560" w:rsidRPr="006D49FB" w:rsidRDefault="00475A7C">
            <w:pPr>
              <w:pStyle w:val="BodyTextIndent"/>
              <w:ind w:left="0"/>
              <w:rPr>
                <w:sz w:val="22"/>
                <w:szCs w:val="22"/>
              </w:rPr>
            </w:pPr>
            <w:r>
              <w:rPr>
                <w:sz w:val="22"/>
                <w:szCs w:val="22"/>
              </w:rPr>
              <w:t>No link coordinated and in use in the concerned frequency range.</w:t>
            </w: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430A823E" w14:textId="0647A9F9" w:rsidR="00AA6209" w:rsidRPr="000271C7" w:rsidRDefault="00475A7C">
            <w:pPr>
              <w:pStyle w:val="BodyTextIndent"/>
              <w:ind w:left="0"/>
              <w:rPr>
                <w:sz w:val="22"/>
                <w:szCs w:val="22"/>
              </w:rPr>
            </w:pPr>
            <w:r>
              <w:rPr>
                <w:sz w:val="22"/>
                <w:szCs w:val="22"/>
              </w:rPr>
              <w:t>No link coordinated and in use in the concerned frequency range.</w:t>
            </w:r>
          </w:p>
        </w:tc>
      </w:tr>
    </w:tbl>
    <w:p w14:paraId="1EF45BBF" w14:textId="7CFB313C"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1FB7CE10" w14:textId="06506604" w:rsidR="008F2566" w:rsidRPr="006D49FB" w:rsidRDefault="00475A7C">
            <w:pPr>
              <w:pStyle w:val="BodyTextIndent"/>
              <w:ind w:left="0"/>
              <w:rPr>
                <w:sz w:val="22"/>
                <w:szCs w:val="22"/>
              </w:rPr>
            </w:pPr>
            <w:r>
              <w:rPr>
                <w:sz w:val="22"/>
                <w:szCs w:val="22"/>
              </w:rPr>
              <w:t>No link coordinated and in use in the concerned frequency range.</w:t>
            </w:r>
          </w:p>
        </w:tc>
      </w:tr>
    </w:tbl>
    <w:p w14:paraId="7B4EA8EE" w14:textId="56F4ECF6"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63CE79D9" w:rsidR="00066F71" w:rsidRPr="006D49FB" w:rsidRDefault="00035CEA" w:rsidP="000271C7">
            <w:pPr>
              <w:pStyle w:val="BodyTextIndent"/>
              <w:ind w:left="0"/>
              <w:rPr>
                <w:sz w:val="22"/>
                <w:szCs w:val="22"/>
              </w:rPr>
            </w:pPr>
            <w:r w:rsidRPr="00035CEA">
              <w:rPr>
                <w:sz w:val="22"/>
                <w:szCs w:val="22"/>
              </w:rPr>
              <w:t>ERC REC 14-01</w:t>
            </w:r>
          </w:p>
        </w:tc>
      </w:tr>
    </w:tbl>
    <w:p w14:paraId="06850707" w14:textId="437F70BB"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55664F8A" w:rsidR="00854D57" w:rsidRPr="006D49FB" w:rsidRDefault="00475A7C" w:rsidP="00882913">
            <w:pPr>
              <w:pStyle w:val="BodyTextIndent"/>
              <w:ind w:left="0"/>
              <w:rPr>
                <w:sz w:val="22"/>
                <w:szCs w:val="22"/>
              </w:rPr>
            </w:pPr>
            <w:r>
              <w:rPr>
                <w:sz w:val="22"/>
                <w:szCs w:val="22"/>
              </w:rPr>
              <w:t>No link coordinated and in use in the concerned frequency range.</w:t>
            </w:r>
          </w:p>
        </w:tc>
      </w:tr>
    </w:tbl>
    <w:p w14:paraId="74DF0198" w14:textId="07456D54" w:rsidR="00F40AC3" w:rsidRDefault="00892931" w:rsidP="00D97E66">
      <w:pPr>
        <w:pStyle w:val="BodyTextIndent"/>
        <w:ind w:hanging="720"/>
        <w:rPr>
          <w:sz w:val="22"/>
          <w:szCs w:val="22"/>
          <w:highlight w:val="yellow"/>
        </w:rPr>
      </w:pPr>
      <w:bookmarkStart w:id="3"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odyTextIndent"/>
        <w:rPr>
          <w:sz w:val="22"/>
          <w:szCs w:val="22"/>
          <w:highlight w:val="yellow"/>
        </w:rPr>
      </w:pPr>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3"/>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136FFA9C" w14:textId="7E073202" w:rsidR="00725817" w:rsidRPr="006D49FB" w:rsidRDefault="00113CB9" w:rsidP="00172F94">
            <w:pPr>
              <w:pStyle w:val="BodyTextIndent"/>
              <w:ind w:left="0"/>
              <w:rPr>
                <w:sz w:val="22"/>
                <w:szCs w:val="22"/>
              </w:rPr>
            </w:pPr>
            <w:r>
              <w:rPr>
                <w:sz w:val="22"/>
                <w:szCs w:val="22"/>
              </w:rPr>
              <w:t>No such requirement.</w:t>
            </w:r>
          </w:p>
        </w:tc>
      </w:tr>
    </w:tbl>
    <w:p w14:paraId="1C0D0704" w14:textId="77777777"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odyTextIndent"/>
        <w:rPr>
          <w:sz w:val="22"/>
          <w:szCs w:val="22"/>
          <w:highlight w:val="yellow"/>
        </w:rPr>
      </w:pPr>
    </w:p>
    <w:p w14:paraId="2D959CE8" w14:textId="06B4A515" w:rsidR="00F078EC" w:rsidRDefault="00F078EC">
      <w:pPr>
        <w:rPr>
          <w:rFonts w:ascii="Times New Roman" w:hAnsi="Times New Roman"/>
          <w:sz w:val="22"/>
          <w:szCs w:val="22"/>
          <w:highlight w:val="yellow"/>
          <w:lang w:val="en-GB" w:eastAsia="it-IT"/>
        </w:rPr>
      </w:pPr>
      <w:r>
        <w:rPr>
          <w:sz w:val="22"/>
          <w:szCs w:val="22"/>
          <w:highlight w:val="yellow"/>
        </w:rPr>
        <w:br w:type="page"/>
      </w:r>
    </w:p>
    <w:p w14:paraId="5B2DC5C2"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gridCol w:w="448"/>
      </w:tblGrid>
      <w:tr w:rsidR="00A2789C" w:rsidRPr="006D49FB" w14:paraId="7A82B14B" w14:textId="77777777" w:rsidTr="00F20DF5">
        <w:trPr>
          <w:gridAfter w:val="1"/>
          <w:wAfter w:w="448" w:type="dxa"/>
        </w:trPr>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824AA5">
        <w:tblPrEx>
          <w:tblCellMar>
            <w:left w:w="70" w:type="dxa"/>
            <w:right w:w="70" w:type="dxa"/>
          </w:tblCellMar>
        </w:tblPrEx>
        <w:trPr>
          <w:trHeight w:val="642"/>
        </w:trPr>
        <w:tc>
          <w:tcPr>
            <w:tcW w:w="9346" w:type="dxa"/>
            <w:gridSpan w:val="2"/>
          </w:tcPr>
          <w:p w14:paraId="174D96DE" w14:textId="4B0129FD" w:rsidR="00A2789C" w:rsidRDefault="00E82F65" w:rsidP="00813B99">
            <w:pPr>
              <w:pStyle w:val="BodyTextIndent"/>
              <w:ind w:left="0"/>
              <w:rPr>
                <w:sz w:val="22"/>
                <w:szCs w:val="22"/>
              </w:rPr>
            </w:pPr>
            <w:r>
              <w:rPr>
                <w:rFonts w:ascii="Arial" w:hAnsi="Arial"/>
                <w:sz w:val="20"/>
                <w:szCs w:val="24"/>
                <w:lang w:val="en-US" w:eastAsia="en-US"/>
              </w:rPr>
              <w:br w:type="page"/>
            </w:r>
            <w:r w:rsidR="00035CEA">
              <w:rPr>
                <w:sz w:val="22"/>
                <w:szCs w:val="22"/>
              </w:rPr>
              <w:t>Luxembourg has following applications in the national frequency allocation table:</w:t>
            </w:r>
          </w:p>
          <w:p w14:paraId="5345DEDF" w14:textId="59C215FE" w:rsidR="00035CEA" w:rsidRDefault="00035CEA" w:rsidP="00035CEA">
            <w:pPr>
              <w:pStyle w:val="BodyTextIndent"/>
              <w:numPr>
                <w:ilvl w:val="0"/>
                <w:numId w:val="23"/>
              </w:numPr>
              <w:rPr>
                <w:sz w:val="22"/>
                <w:szCs w:val="22"/>
              </w:rPr>
            </w:pPr>
            <w:r>
              <w:rPr>
                <w:sz w:val="22"/>
                <w:szCs w:val="22"/>
              </w:rPr>
              <w:t>Fixed links P-P (5.925 – 6.</w:t>
            </w:r>
            <w:r w:rsidR="003A15E3">
              <w:rPr>
                <w:sz w:val="22"/>
                <w:szCs w:val="22"/>
              </w:rPr>
              <w:t>425</w:t>
            </w:r>
            <w:r>
              <w:rPr>
                <w:sz w:val="22"/>
                <w:szCs w:val="22"/>
              </w:rPr>
              <w:t xml:space="preserve"> GHz)</w:t>
            </w:r>
          </w:p>
          <w:p w14:paraId="49D6036F" w14:textId="1A6F48B5" w:rsidR="00E25E6D" w:rsidRDefault="00E25E6D" w:rsidP="00E25E6D">
            <w:pPr>
              <w:pStyle w:val="BodyTextIndent"/>
              <w:ind w:left="0"/>
              <w:rPr>
                <w:sz w:val="22"/>
                <w:szCs w:val="22"/>
              </w:rPr>
            </w:pPr>
          </w:p>
          <w:p w14:paraId="5C44C249" w14:textId="77777777" w:rsidR="00597BE3" w:rsidRDefault="00035CEA" w:rsidP="00597BE3">
            <w:pPr>
              <w:pStyle w:val="BodyTextIndent"/>
              <w:numPr>
                <w:ilvl w:val="0"/>
                <w:numId w:val="23"/>
              </w:numPr>
              <w:rPr>
                <w:sz w:val="22"/>
                <w:szCs w:val="22"/>
              </w:rPr>
            </w:pPr>
            <w:r>
              <w:rPr>
                <w:sz w:val="22"/>
                <w:szCs w:val="22"/>
              </w:rPr>
              <w:t>Fixed satellite service (5.725-6.7 GHz)</w:t>
            </w:r>
            <w:r w:rsidR="00597BE3">
              <w:rPr>
                <w:sz w:val="22"/>
                <w:szCs w:val="22"/>
              </w:rPr>
              <w:br/>
            </w:r>
          </w:p>
          <w:p w14:paraId="70AD6C2F" w14:textId="4F3BFA61" w:rsidR="00035CEA" w:rsidRDefault="00597BE3" w:rsidP="00597BE3">
            <w:pPr>
              <w:pStyle w:val="BodyTextIndent"/>
              <w:numPr>
                <w:ilvl w:val="1"/>
                <w:numId w:val="23"/>
              </w:numPr>
              <w:rPr>
                <w:sz w:val="22"/>
                <w:szCs w:val="22"/>
              </w:rPr>
            </w:pPr>
            <w:r>
              <w:rPr>
                <w:sz w:val="22"/>
                <w:szCs w:val="22"/>
              </w:rPr>
              <w:t xml:space="preserve"> 3 main earth stations sites </w:t>
            </w:r>
            <w:r w:rsidR="00F078EC">
              <w:rPr>
                <w:sz w:val="22"/>
                <w:szCs w:val="22"/>
              </w:rPr>
              <w:t>(Betzdorf, Diekirch and Echternach)</w:t>
            </w:r>
            <w:r>
              <w:rPr>
                <w:sz w:val="22"/>
                <w:szCs w:val="22"/>
              </w:rPr>
              <w:t>:</w:t>
            </w:r>
          </w:p>
          <w:p w14:paraId="754BD985" w14:textId="77777777" w:rsidR="00597BE3" w:rsidRDefault="00597BE3" w:rsidP="00597BE3">
            <w:pPr>
              <w:pStyle w:val="BodyTextIndent"/>
              <w:ind w:left="0"/>
              <w:rPr>
                <w:sz w:val="22"/>
                <w:szCs w:val="22"/>
              </w:rPr>
            </w:pPr>
          </w:p>
          <w:p w14:paraId="4C1CF2C7" w14:textId="05523232" w:rsidR="00E82F65" w:rsidRDefault="00824AA5" w:rsidP="00E82F65">
            <w:pPr>
              <w:pStyle w:val="BodyTextIndent"/>
              <w:ind w:left="360"/>
              <w:rPr>
                <w:sz w:val="22"/>
                <w:szCs w:val="22"/>
              </w:rPr>
            </w:pPr>
            <w:r>
              <w:rPr>
                <w:noProof/>
                <w:lang w:val="da-DK" w:eastAsia="da-DK"/>
              </w:rPr>
              <w:drawing>
                <wp:inline distT="0" distB="0" distL="0" distR="0" wp14:anchorId="3D5C6C6D" wp14:editId="4CA178DF">
                  <wp:extent cx="5516779" cy="2209190"/>
                  <wp:effectExtent l="0" t="0" r="8255" b="6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45D94F8" w14:textId="3A4512D5" w:rsidR="00E82F65" w:rsidRDefault="00E82F65" w:rsidP="00E82F65">
            <w:pPr>
              <w:pStyle w:val="BodyTextIndent"/>
              <w:ind w:left="0"/>
              <w:rPr>
                <w:sz w:val="22"/>
                <w:szCs w:val="22"/>
              </w:rPr>
            </w:pPr>
          </w:p>
          <w:p w14:paraId="0D9A9529" w14:textId="06F04F5F" w:rsidR="00E82F65" w:rsidRDefault="00E82F65" w:rsidP="00E82F65">
            <w:pPr>
              <w:pStyle w:val="BodyTextIndent"/>
              <w:rPr>
                <w:sz w:val="22"/>
                <w:szCs w:val="22"/>
              </w:rPr>
            </w:pPr>
          </w:p>
          <w:p w14:paraId="0034DD21" w14:textId="5AB5FB55" w:rsidR="00035CEA" w:rsidRDefault="00035CEA" w:rsidP="00035CEA">
            <w:pPr>
              <w:pStyle w:val="BodyTextIndent"/>
              <w:numPr>
                <w:ilvl w:val="0"/>
                <w:numId w:val="23"/>
              </w:numPr>
              <w:rPr>
                <w:sz w:val="22"/>
                <w:szCs w:val="22"/>
              </w:rPr>
            </w:pPr>
            <w:r>
              <w:rPr>
                <w:sz w:val="22"/>
                <w:szCs w:val="22"/>
              </w:rPr>
              <w:t>Fixed satellite maritime stations (5.925-6.425 GHz)</w:t>
            </w:r>
          </w:p>
          <w:p w14:paraId="08E3065F" w14:textId="762A957E" w:rsidR="00035CEA" w:rsidRDefault="00035CEA" w:rsidP="00035CEA">
            <w:pPr>
              <w:pStyle w:val="BodyTextIndent"/>
              <w:numPr>
                <w:ilvl w:val="0"/>
                <w:numId w:val="23"/>
              </w:numPr>
              <w:rPr>
                <w:sz w:val="22"/>
                <w:szCs w:val="22"/>
              </w:rPr>
            </w:pPr>
            <w:r>
              <w:rPr>
                <w:sz w:val="22"/>
                <w:szCs w:val="22"/>
              </w:rPr>
              <w:t>TLPRs (4.5-7 GHz)</w:t>
            </w:r>
          </w:p>
          <w:p w14:paraId="02D87E77" w14:textId="3B423651" w:rsidR="00035CEA" w:rsidRPr="006D49FB" w:rsidRDefault="00035CEA" w:rsidP="00035CEA">
            <w:pPr>
              <w:pStyle w:val="BodyTextIndent"/>
              <w:numPr>
                <w:ilvl w:val="0"/>
                <w:numId w:val="23"/>
              </w:numPr>
              <w:rPr>
                <w:sz w:val="22"/>
                <w:szCs w:val="22"/>
              </w:rPr>
            </w:pPr>
            <w:r>
              <w:rPr>
                <w:sz w:val="22"/>
                <w:szCs w:val="22"/>
              </w:rPr>
              <w:t>LPRs (6 – 8.5 GHz)</w:t>
            </w: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18"/>
      <w:headerReference w:type="default" r:id="rId19"/>
      <w:footerReference w:type="even" r:id="rId20"/>
      <w:footerReference w:type="default" r:id="rId21"/>
      <w:headerReference w:type="first" r:id="rId22"/>
      <w:footerReference w:type="first" r:id="rId23"/>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C2770" w14:textId="77777777" w:rsidR="003E7DD6" w:rsidRDefault="003E7DD6" w:rsidP="00C74BE6">
      <w:r>
        <w:separator/>
      </w:r>
    </w:p>
  </w:endnote>
  <w:endnote w:type="continuationSeparator" w:id="0">
    <w:p w14:paraId="059E8DFF" w14:textId="77777777" w:rsidR="003E7DD6" w:rsidRDefault="003E7DD6"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auto"/>
    <w:notTrueType/>
    <w:pitch w:val="variable"/>
    <w:sig w:usb0="00000003" w:usb1="00000000" w:usb2="00000000" w:usb3="00000000" w:csb0="00000001" w:csb1="00000000"/>
  </w:font>
  <w:font w:name="Lucida Grande">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7CF6">
      <w:rPr>
        <w:rStyle w:val="PageNumber"/>
        <w:noProof/>
      </w:rPr>
      <w:t>2</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7CF6">
      <w:rPr>
        <w:rStyle w:val="PageNumber"/>
        <w:noProof/>
      </w:rPr>
      <w:t>5</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891DC" w14:textId="77777777" w:rsidR="003E7DD6" w:rsidRDefault="003E7DD6" w:rsidP="00C74BE6">
      <w:r>
        <w:separator/>
      </w:r>
    </w:p>
  </w:footnote>
  <w:footnote w:type="continuationSeparator" w:id="0">
    <w:p w14:paraId="27D81718" w14:textId="77777777" w:rsidR="003E7DD6" w:rsidRDefault="003E7DD6"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4C871A51"/>
    <w:multiLevelType w:val="hybridMultilevel"/>
    <w:tmpl w:val="8BF82A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1"/>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8"/>
  </w:num>
  <w:num w:numId="15">
    <w:abstractNumId w:val="14"/>
  </w:num>
  <w:num w:numId="16">
    <w:abstractNumId w:val="0"/>
  </w:num>
  <w:num w:numId="17">
    <w:abstractNumId w:val="17"/>
  </w:num>
  <w:num w:numId="18">
    <w:abstractNumId w:val="7"/>
  </w:num>
  <w:num w:numId="19">
    <w:abstractNumId w:val="10"/>
  </w:num>
  <w:num w:numId="20">
    <w:abstractNumId w:val="4"/>
  </w:num>
  <w:num w:numId="21">
    <w:abstractNumId w:val="16"/>
  </w:num>
  <w:num w:numId="22">
    <w:abstractNumId w:val="19"/>
  </w:num>
  <w:num w:numId="2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8193">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35CEA"/>
    <w:rsid w:val="000451FB"/>
    <w:rsid w:val="00066F71"/>
    <w:rsid w:val="00074452"/>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13CB9"/>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57DD8"/>
    <w:rsid w:val="0027245D"/>
    <w:rsid w:val="00296018"/>
    <w:rsid w:val="002A1276"/>
    <w:rsid w:val="002B5256"/>
    <w:rsid w:val="002D5E37"/>
    <w:rsid w:val="002E3A2C"/>
    <w:rsid w:val="002F26A3"/>
    <w:rsid w:val="0032113A"/>
    <w:rsid w:val="00322B8E"/>
    <w:rsid w:val="00322EF9"/>
    <w:rsid w:val="00327DA7"/>
    <w:rsid w:val="003424DF"/>
    <w:rsid w:val="00357EEC"/>
    <w:rsid w:val="003625AB"/>
    <w:rsid w:val="00375718"/>
    <w:rsid w:val="00396983"/>
    <w:rsid w:val="003A15E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3379C"/>
    <w:rsid w:val="00467DA5"/>
    <w:rsid w:val="00475A7C"/>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97BE3"/>
    <w:rsid w:val="005A297D"/>
    <w:rsid w:val="005A5319"/>
    <w:rsid w:val="005D6882"/>
    <w:rsid w:val="005E1BF6"/>
    <w:rsid w:val="005E51E1"/>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7F30"/>
    <w:rsid w:val="007E338F"/>
    <w:rsid w:val="00806521"/>
    <w:rsid w:val="008162C7"/>
    <w:rsid w:val="008201B0"/>
    <w:rsid w:val="00822AE0"/>
    <w:rsid w:val="00824AA5"/>
    <w:rsid w:val="00835A7D"/>
    <w:rsid w:val="00835C5B"/>
    <w:rsid w:val="00854D57"/>
    <w:rsid w:val="00855A22"/>
    <w:rsid w:val="00856088"/>
    <w:rsid w:val="00857C5B"/>
    <w:rsid w:val="00864E3B"/>
    <w:rsid w:val="00882913"/>
    <w:rsid w:val="00886762"/>
    <w:rsid w:val="00892931"/>
    <w:rsid w:val="00895CEF"/>
    <w:rsid w:val="00897781"/>
    <w:rsid w:val="008E7162"/>
    <w:rsid w:val="008F2566"/>
    <w:rsid w:val="008F43F8"/>
    <w:rsid w:val="008F4DD1"/>
    <w:rsid w:val="00902DF8"/>
    <w:rsid w:val="0091425E"/>
    <w:rsid w:val="00915F7A"/>
    <w:rsid w:val="0092624F"/>
    <w:rsid w:val="00943C93"/>
    <w:rsid w:val="009518A4"/>
    <w:rsid w:val="00952DE5"/>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26913"/>
    <w:rsid w:val="00C51BDF"/>
    <w:rsid w:val="00C52C9C"/>
    <w:rsid w:val="00C60BCE"/>
    <w:rsid w:val="00C749F6"/>
    <w:rsid w:val="00C74BE6"/>
    <w:rsid w:val="00C8332F"/>
    <w:rsid w:val="00C919AB"/>
    <w:rsid w:val="00CA0698"/>
    <w:rsid w:val="00CA6C77"/>
    <w:rsid w:val="00CB4C32"/>
    <w:rsid w:val="00CB7D84"/>
    <w:rsid w:val="00CD37C5"/>
    <w:rsid w:val="00CD7CF6"/>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25E6D"/>
    <w:rsid w:val="00E3253E"/>
    <w:rsid w:val="00E3405B"/>
    <w:rsid w:val="00E51B17"/>
    <w:rsid w:val="00E566E3"/>
    <w:rsid w:val="00E56946"/>
    <w:rsid w:val="00E66AD1"/>
    <w:rsid w:val="00E7005A"/>
    <w:rsid w:val="00E746CD"/>
    <w:rsid w:val="00E74D88"/>
    <w:rsid w:val="00E82F65"/>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078EC"/>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r@ilr.l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thomas.weber@eco.cept.org" TargetMode="External"/><Relationship Id="rId23"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fr-FR" sz="1050" b="0" i="0" baseline="0">
                <a:effectLst/>
              </a:rPr>
              <a:t>Earth station: Tx Frequency range used </a:t>
            </a:r>
            <a:endParaRPr lang="fr-FR" sz="1050">
              <a:effectLst/>
            </a:endParaRPr>
          </a:p>
        </c:rich>
      </c:tx>
      <c:overlay val="0"/>
      <c:spPr>
        <a:noFill/>
        <a:ln>
          <a:noFill/>
        </a:ln>
        <a:effectLst/>
      </c:spPr>
    </c:title>
    <c:autoTitleDeleted val="0"/>
    <c:plotArea>
      <c:layout>
        <c:manualLayout>
          <c:layoutTarget val="inner"/>
          <c:xMode val="edge"/>
          <c:yMode val="edge"/>
          <c:x val="8.1701229731456812E-2"/>
          <c:y val="0.18574302960620867"/>
          <c:w val="0.89297357169596348"/>
          <c:h val="0.29380467280624128"/>
        </c:manualLayout>
      </c:layout>
      <c:barChart>
        <c:barDir val="col"/>
        <c:grouping val="clustered"/>
        <c:varyColors val="0"/>
        <c:ser>
          <c:idx val="0"/>
          <c:order val="0"/>
          <c:spPr>
            <a:solidFill>
              <a:schemeClr val="accent1"/>
            </a:solidFill>
            <a:ln>
              <a:noFill/>
            </a:ln>
            <a:effectLst/>
          </c:spPr>
          <c:invertIfNegative val="0"/>
          <c:cat>
            <c:strRef>
              <c:f>Sheet1!$A$2:$A$8</c:f>
              <c:strCache>
                <c:ptCount val="7"/>
                <c:pt idx="0">
                  <c:v>5727.5 MHz - 6722.5 MHz</c:v>
                </c:pt>
                <c:pt idx="1">
                  <c:v>5775 MHz - 6675 MHz</c:v>
                </c:pt>
                <c:pt idx="2">
                  <c:v>5875 MHz - 6725 MHz</c:v>
                </c:pt>
                <c:pt idx="3">
                  <c:v>5875 MHz - 6425 MHz</c:v>
                </c:pt>
                <c:pt idx="4">
                  <c:v>5950 MHz - 6400 MHz</c:v>
                </c:pt>
                <c:pt idx="5">
                  <c:v>6173.3 MHz - 6176.3 MHz</c:v>
                </c:pt>
                <c:pt idx="6">
                  <c:v>6335.7145 MHz - 6337.8355 MHz</c:v>
                </c:pt>
              </c:strCache>
            </c:strRef>
          </c:cat>
          <c:val>
            <c:numRef>
              <c:f>Sheet1!$B$2:$B$8</c:f>
              <c:numCache>
                <c:formatCode>General</c:formatCode>
                <c:ptCount val="7"/>
                <c:pt idx="0">
                  <c:v>1</c:v>
                </c:pt>
                <c:pt idx="1">
                  <c:v>1</c:v>
                </c:pt>
                <c:pt idx="2">
                  <c:v>7</c:v>
                </c:pt>
                <c:pt idx="3">
                  <c:v>1</c:v>
                </c:pt>
                <c:pt idx="4">
                  <c:v>1</c:v>
                </c:pt>
                <c:pt idx="5">
                  <c:v>1</c:v>
                </c:pt>
                <c:pt idx="6">
                  <c:v>2</c:v>
                </c:pt>
              </c:numCache>
            </c:numRef>
          </c:val>
        </c:ser>
        <c:dLbls>
          <c:showLegendKey val="0"/>
          <c:showVal val="0"/>
          <c:showCatName val="0"/>
          <c:showSerName val="0"/>
          <c:showPercent val="0"/>
          <c:showBubbleSize val="0"/>
        </c:dLbls>
        <c:gapWidth val="219"/>
        <c:overlap val="-27"/>
        <c:axId val="54821888"/>
        <c:axId val="54776320"/>
      </c:barChart>
      <c:catAx>
        <c:axId val="54821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1"/>
          <a:lstStyle/>
          <a:p>
            <a:pPr>
              <a:defRPr sz="700" b="0" i="0" u="none" strike="noStrike" kern="1200" baseline="0">
                <a:solidFill>
                  <a:schemeClr val="tx1">
                    <a:lumMod val="65000"/>
                    <a:lumOff val="35000"/>
                  </a:schemeClr>
                </a:solidFill>
                <a:latin typeface="+mn-lt"/>
                <a:ea typeface="+mn-ea"/>
                <a:cs typeface="+mn-cs"/>
              </a:defRPr>
            </a:pPr>
            <a:endParaRPr lang="da-DK"/>
          </a:p>
        </c:txPr>
        <c:crossAx val="54776320"/>
        <c:crosses val="autoZero"/>
        <c:auto val="1"/>
        <c:lblAlgn val="ctr"/>
        <c:lblOffset val="100"/>
        <c:noMultiLvlLbl val="0"/>
      </c:catAx>
      <c:valAx>
        <c:axId val="54776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da-DK"/>
          </a:p>
        </c:txPr>
        <c:crossAx val="548218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2700000"/>
    <a:lstStyle/>
    <a:p>
      <a:pPr>
        <a:defRPr/>
      </a:pPr>
      <a:endParaRPr lang="da-DK"/>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6327D-8B35-4B4A-85C2-62AA7E977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0</TotalTime>
  <Pages>5</Pages>
  <Words>1235</Words>
  <Characters>7535</Characters>
  <Application>Microsoft Office Word</Application>
  <DocSecurity>4</DocSecurity>
  <Lines>62</Lines>
  <Paragraphs>17</Paragraphs>
  <ScaleCrop>false</ScaleCrop>
  <HeadingPairs>
    <vt:vector size="8" baseType="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8753</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Thomas Weber</cp:lastModifiedBy>
  <cp:revision>2</cp:revision>
  <cp:lastPrinted>2014-02-24T13:44:00Z</cp:lastPrinted>
  <dcterms:created xsi:type="dcterms:W3CDTF">2018-04-17T09:37:00Z</dcterms:created>
  <dcterms:modified xsi:type="dcterms:W3CDTF">2018-04-17T09:37:00Z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